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26-265</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81</w:t>
      </w:r>
    </w:p>
    <w:p>
      <w:pPr>
        <w:spacing w:before="0" w:after="0" w:line="480"/>
        <w:ind w:left="120"/>
        <w:jc w:val="center"/>
      </w:pPr>
      <w:r>
        <w:rPr>
          <w:rFonts w:ascii="Times New Roman" w:hAnsi="Times New Roman"/>
          <w:b w:val="false"/>
          <w:i w:val="false"/>
          <w:color w:val="000000"/>
          <w:sz w:val="24"/>
        </w:rPr>
        <w:t>“NATCEP Updates”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249A</w:t>
      </w:r>
    </w:p>
    <w:p>
      <w:pPr>
        <w:spacing w:before="0" w:after="0" w:line="480"/>
        <w:ind w:left="120"/>
        <w:jc w:val="both"/>
      </w:pPr>
      <w:r>
        <w:rPr>
          <w:rFonts w:ascii="Times New Roman" w:hAnsi="Times New Roman"/>
          <w:b w:val="false"/>
          <w:i w:val="false"/>
          <w:color w:val="000000"/>
          <w:sz w:val="24"/>
        </w:rPr>
        <w:t>State or federal law(s) implemented by the rulemaking: Iowa Code chapter 249A and 42 CFR Sections 483.151, 483.152, 483.154, and 483.156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299 521 373 675 206</w:t>
            </w:r>
            <w:r>
              <w:br/>
            </w:r>
            <w:r>
              <w:rPr>
                <w:rFonts w:ascii="Times New Roman" w:hAnsi="Times New Roman"/>
                <w:b w:val="false"/>
                <w:i w:val="false"/>
                <w:color w:val="000000"/>
                <w:sz w:val="14"/>
              </w:rPr>
              <w:t xml:space="preserve">Passcode: Dq6qm6ow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 xml:space="preserve">Lucas State Office Building </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federal updates to the Nurse Aid Training and Competency Evaluation Programs (NATCEP) by amending Chapter 81 to update the date certain for internal references to 42 CFR Sections 483.151, 483.152, 483.154, and 483.156. This proposed rulemaking also restores a student-to-teacher ratio to help ensure the quality of clinical instruction provided to nurse aide trainees.</w:t>
      </w:r>
    </w:p>
    <w:p>
      <w:pPr>
        <w:spacing w:before="0" w:after="0" w:line="480"/>
        <w:ind w:left="120"/>
        <w:jc w:val="both"/>
      </w:pPr>
      <w:r>
        <w:rPr>
          <w:rFonts w:ascii="Times New Roman" w:hAnsi="Times New Roman"/>
          <w:b w:val="false"/>
          <w:i w:val="false"/>
          <w:color w:val="000000"/>
          <w:sz w:val="24"/>
        </w:rPr>
        <w:t>    The Centers for Medicare and Medicaid Services (CMS) issued a policy clarification memorandum in April 2026, updating training, supervision, and instructor qualifications for NATCEP. Because NATCEP is State‑approved under federal law (42 CFR Part 483, Subpart D), each State must update its own NATCEP regulations and approval processes to align with CMS’s clarified requirements. States are responsible for implementing these changes in their own statutes, rules, and program approvals.</w:t>
      </w:r>
    </w:p>
    <w:p>
      <w:pPr>
        <w:spacing w:before="0" w:after="0" w:line="480"/>
        <w:ind w:left="120"/>
        <w:jc w:val="both"/>
      </w:pPr>
      <w:r>
        <w:rPr>
          <w:rFonts w:ascii="Times New Roman" w:hAnsi="Times New Roman"/>
          <w:b w:val="false"/>
          <w:i w:val="false"/>
          <w:color w:val="000000"/>
          <w:sz w:val="24"/>
        </w:rPr>
        <w:t>    Iowa addresses CMS’s NATCEP requirements in Chapter 81 by referencing the applicable federal regulations with a date certain. The current date certain used in Chapter 81 is August 1, 2024. As such, there is a need to update that date certain to ensure that the new federal requirements apply.</w:t>
      </w:r>
    </w:p>
    <w:p>
      <w:pPr>
        <w:spacing w:before="0" w:after="0" w:line="480"/>
        <w:ind w:left="120"/>
        <w:jc w:val="both"/>
      </w:pPr>
      <w:r>
        <w:rPr>
          <w:rFonts w:ascii="Times New Roman" w:hAnsi="Times New Roman"/>
          <w:b w:val="false"/>
          <w:i w:val="false"/>
          <w:color w:val="000000"/>
          <w:sz w:val="24"/>
        </w:rPr>
        <w:t>    This proposed rulemaking also reinstates a student-to-teacher ratio of one registered nurse or licensed practical nurse assistant to every 15 students within a clinical training setting. This requirement was inadvertently removed during the 2024 Red Tape Review since it was thought to be covered by referencing the federal regulation. Reestablishing this student-to-teacher ratio will help ensure the quality of the clinical portion of nurse aide training.</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Residents of facilities who receive reimbursement from CMS and their families will benefit from the updated requirements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Department does not currently have any quantitative information related to the number of individuals who may be impacted in the future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is intended to update the dates certain used in referencing federal regulations, as well as to restore a student-to-teacher ratio for clinical instruction.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may incur personnel and other administrative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is appropriate to effectuate CMS’s 2026 policy clarification memo.</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81.13(2)“e”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Withdrawal of approval. The department of inspection, appeals, and licensing will follow the provision of </w:t>
      </w:r>
      <w:r>
        <w:rPr>
          <w:rFonts w:ascii="Times New Roman" w:hAnsi="Times New Roman"/>
          <w:b w:val="false"/>
          <w:i w:val="false"/>
          <w:strike/>
          <w:color w:val="000000"/>
          <w:sz w:val="24"/>
        </w:rPr>
        <w:t>42 CFR 483.151(e)</w:t>
      </w:r>
      <w:r>
        <w:rPr>
          <w:rFonts w:ascii="Times New Roman" w:hAnsi="Times New Roman"/>
          <w:b w:val="false"/>
          <w:i w:val="false"/>
          <w:strike/>
          <w:color w:val="000000"/>
          <w:sz w:val="24"/>
        </w:rPr>
        <w:t xml:space="preserve"> (as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42 CFR 483.151(f)</w:t>
      </w:r>
      <w:r>
        <w:rPr>
          <w:rFonts w:ascii="Times New Roman" w:hAnsi="Times New Roman"/>
          <w:b w:val="false"/>
          <w:i w:val="false"/>
          <w:color w:val="000000"/>
          <w:sz w:val="24"/>
          <w:u w:val="single"/>
        </w:rPr>
        <w:t xml:space="preserve"> as amended to January 1, 2027,</w:t>
      </w:r>
      <w:r>
        <w:rPr>
          <w:rFonts w:ascii="Times New Roman" w:hAnsi="Times New Roman"/>
          <w:b w:val="false"/>
          <w:i w:val="false"/>
          <w:color w:val="000000"/>
          <w:sz w:val="24"/>
        </w:rPr>
        <w:t xml:space="preserve"> regarding withdrawals of approvals.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81.13(3)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81.13(3)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approval of a nurse aide training and competency evaluation program. </w:t>
      </w:r>
      <w:r>
        <w:rPr>
          <w:rFonts w:ascii="Times New Roman" w:hAnsi="Times New Roman"/>
          <w:b w:val="false"/>
          <w:i w:val="false"/>
          <w:color w:val="000000"/>
          <w:sz w:val="24"/>
        </w:rPr>
        <w:t xml:space="preserve">The department has designated the department of inspections, appeals, and licensing to approve required nurse aide training and competency evaluation programs. Policies and procedures governing approval of the programs are set forth in </w:t>
      </w:r>
      <w:r>
        <w:rPr>
          <w:rFonts w:ascii="Times New Roman" w:hAnsi="Times New Roman"/>
          <w:b w:val="false"/>
          <w:i w:val="false"/>
          <w:color w:val="000000"/>
          <w:sz w:val="24"/>
        </w:rPr>
        <w:t>42 CFR 483.152</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January 1, 2027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Clinical setting student-to-teacher ratio. The ratio of department of inspections, appeals, and licensing-approved instructors to students shall not exceed one registered nurse, or licensed practical nurse functioning as an assistant to a registered nurse, who is in the proximate area in the clinical setting, for every 15 students in the clinical setting.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81.13(4)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81.13(4)</w:t>
      </w:r>
      <w:r>
        <w:rPr>
          <w:rFonts w:ascii="Times New Roman" w:hAnsi="Times New Roman"/>
          <w:b w:val="false"/>
          <w:i w:val="false"/>
          <w:color w:val="000000"/>
          <w:sz w:val="24"/>
        </w:rPr>
        <w:t> </w:t>
      </w:r>
      <w:r>
        <w:rPr>
          <w:rFonts w:ascii="Times New Roman" w:hAnsi="Times New Roman"/>
          <w:b w:val="false"/>
          <w:i/>
          <w:color w:val="000000"/>
          <w:sz w:val="24"/>
        </w:rPr>
        <w:t xml:space="preserve">Nurse aide competency evaluation. </w:t>
      </w:r>
      <w:r>
        <w:rPr>
          <w:rFonts w:ascii="Times New Roman" w:hAnsi="Times New Roman"/>
          <w:b w:val="false"/>
          <w:i w:val="false"/>
          <w:color w:val="000000"/>
          <w:sz w:val="24"/>
        </w:rPr>
        <w:t xml:space="preserve">Nurse aid competency evaluation program shall be administered in accordance with </w:t>
      </w:r>
      <w:r>
        <w:rPr>
          <w:rFonts w:ascii="Times New Roman" w:hAnsi="Times New Roman"/>
          <w:b w:val="false"/>
          <w:i w:val="false"/>
          <w:color w:val="000000"/>
          <w:sz w:val="24"/>
        </w:rPr>
        <w:t>42 CFR 483.154</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January 1, 2027</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81.13(5)“a”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Establishment of registry. The department of inspections, appeals, and licensing shall establish and maintain a registry of nurse aides in accordance with </w:t>
      </w:r>
      <w:r>
        <w:rPr>
          <w:rFonts w:ascii="Times New Roman" w:hAnsi="Times New Roman"/>
          <w:b w:val="false"/>
          <w:i w:val="false"/>
          <w:color w:val="000000"/>
          <w:sz w:val="24"/>
        </w:rPr>
        <w:t>42 CFR 483.156</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January 1, 2027</w:t>
      </w:r>
      <w:r>
        <w:rPr>
          <w:rFonts w:ascii="Times New Roman" w:hAnsi="Times New Roman"/>
          <w:b w:val="false"/>
          <w:i w:val="false"/>
          <w:color w:val="000000"/>
          <w:sz w:val="24"/>
        </w:rPr>
        <w:t>. In addition, the registry shall contain a record of known convictions by a court of law of a person convicted of abuse, neglect, mistreatment, or misappropriation of resident property.</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